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Студије политике, модул: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Избори и изборне кампање, Политичка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аналитика, партије, избори, демократија, Комуникологија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Изборно комуницирање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Синиша М. Атлагић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 (Избори и изборне кампање)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/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 (Политичка аналитика, Комуникологија)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25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9252"/>
              <w:tblGridChange w:id="0">
                <w:tblGrid>
                  <w:gridCol w:w="9252"/>
                </w:tblGrid>
              </w:tblGridChange>
            </w:tblGrid>
            <w:tr>
              <w:trPr>
                <w:trHeight w:val="226" w:hRule="atLeast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2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Циљ предмета је да полазницима пружи детаљна и продубљена сазнања о карактеристикама различитих средстава комуницирања и облика промоције странака и кандидата у изборним кампањама, као и о карактеристикама имиџа колективних и појединачних изборних актера и основним темама у кампањама. Полазницима ће бити пружена и основна сазнања из психологије изборне комуникације, сазнања о карактеристикама досадашњих кампања које су пратиле бројне изборе у Србији од поновног увођења вишестраначког система 1990. године и, у том смислу, биће представљени психолошки обрасци масовне изборне комуникације у Србији. </w:t>
                  </w:r>
                </w:p>
              </w:tc>
            </w:tr>
          </w:tbl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25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9252"/>
              <w:tblGridChange w:id="0">
                <w:tblGrid>
                  <w:gridCol w:w="9252"/>
                </w:tblGrid>
              </w:tblGridChange>
            </w:tblGrid>
            <w:tr>
              <w:trPr>
                <w:trHeight w:val="986" w:hRule="atLeast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2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 Оспособљавање полазника за теоријско и емпиријско истраживање изборних кампања у циљу квалитетног коришћења сазнања и резултата досадашњих истраживања у пракси. Предмет би могао да буде од користи полазницима који намеравају да наставе стручно усавршавање на докторским студијама, да се баве истраживањима политичког комуницирања, политичке пропаганде, а посебно политичког маркетинга у научно-истраживачким институцијама и агенцијама, да се професионално ангажују на одговарајућим пословима у медијима, државним органима, политичким странкама и другим институцијама, а посебно на пословима у вези са планирањем и реализацијом различитих општепромотивних, тематских, изборних и других кампања. </w:t>
                  </w:r>
                </w:p>
              </w:tc>
            </w:tr>
          </w:tbl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036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9036"/>
              <w:tblGridChange w:id="0">
                <w:tblGrid>
                  <w:gridCol w:w="9036"/>
                </w:tblGrid>
              </w:tblGridChange>
            </w:tblGrid>
            <w:tr>
              <w:trPr>
                <w:trHeight w:val="799" w:hRule="atLeast"/>
              </w:trPr>
              <w:tc>
                <w:tcPr/>
                <w:p w:rsidR="00000000" w:rsidDel="00000000" w:rsidP="00000000" w:rsidRDefault="00000000" w:rsidRPr="00000000" w14:paraId="00000030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i w:val="0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5"/>
                    <w:tblW w:w="9036.0" w:type="dxa"/>
                    <w:jc w:val="left"/>
                    <w:tblBorders>
                      <w:top w:color="000000" w:space="0" w:sz="0" w:val="nil"/>
                      <w:left w:color="000000" w:space="0" w:sz="0" w:val="nil"/>
                      <w:bottom w:color="000000" w:space="0" w:sz="0" w:val="nil"/>
                      <w:right w:color="000000" w:space="0" w:sz="0" w:val="nil"/>
                      <w:insideH w:color="000000" w:space="0" w:sz="0" w:val="nil"/>
                      <w:insideV w:color="000000" w:space="0" w:sz="0" w:val="nil"/>
                    </w:tblBorders>
                    <w:tblLayout w:type="fixed"/>
                    <w:tblLook w:val="0000"/>
                  </w:tblPr>
                  <w:tblGrid>
                    <w:gridCol w:w="9036"/>
                    <w:tblGridChange w:id="0">
                      <w:tblGrid>
                        <w:gridCol w:w="9036"/>
                      </w:tblGrid>
                    </w:tblGridChange>
                  </w:tblGrid>
                  <w:tr>
                    <w:trPr>
                      <w:trHeight w:val="479" w:hRule="atLeast"/>
                    </w:trP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31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40" w:lineRule="auto"/>
                          <w:ind w:left="0" w:right="0" w:firstLine="0"/>
                          <w:jc w:val="both"/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Значај, функције и циљеви изборних кампања;  Персонализација политике и имиџ лидера и кандидата; Тематске окоснице изборних кампања; Управљање сликом света и изборно комуницирање; Психолошки механизми утицаја на свест и на понашање публике у изборном комуницирању; Знаци и значење у изборној комуникацији; Управљање свешћу и понашањем бирача у изборном комуницирању; Организација кампање и избор средстава и облика промоције за реализацију циљева кампање; Медији у изборној кампањи; Бесплатни облици комуницирања – публицитет, псеудо-догађаји, „пропаганда акцијом“, представљање странака и кандидата, дебате и дуели; Плаћени облици комуницирања – ТВ спотови, плакат, летак, постер, промотивни скупови, кућне посете бирачима, слање писама на кућне адсресе, промотивни материјали; Офанзивне, дефанзивне и „прљаве“ кампање</w:t>
                        </w:r>
                      </w:p>
                      <w:p w:rsidR="00000000" w:rsidDel="00000000" w:rsidP="00000000" w:rsidRDefault="00000000" w:rsidRPr="00000000" w14:paraId="00000032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40" w:lineRule="auto"/>
                          <w:ind w:left="0" w:right="0" w:firstLine="0"/>
                          <w:jc w:val="both"/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3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Вежбе, Други облици наставе, Студијски истраживачки рад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9036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9036"/>
              <w:tblGridChange w:id="0">
                <w:tblGrid>
                  <w:gridCol w:w="9036"/>
                </w:tblGrid>
              </w:tblGridChange>
            </w:tblGrid>
            <w:tr>
              <w:trPr>
                <w:trHeight w:val="238" w:hRule="atLeast"/>
              </w:trPr>
              <w:tc>
                <w:tcPr/>
                <w:p w:rsidR="00000000" w:rsidDel="00000000" w:rsidP="00000000" w:rsidRDefault="00000000" w:rsidRPr="00000000" w14:paraId="0000003C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7"/>
                    <w:tblW w:w="9036.0" w:type="dxa"/>
                    <w:jc w:val="left"/>
                    <w:tblBorders>
                      <w:top w:color="000000" w:space="0" w:sz="0" w:val="nil"/>
                      <w:left w:color="000000" w:space="0" w:sz="0" w:val="nil"/>
                      <w:bottom w:color="000000" w:space="0" w:sz="0" w:val="nil"/>
                      <w:right w:color="000000" w:space="0" w:sz="0" w:val="nil"/>
                      <w:insideH w:color="000000" w:space="0" w:sz="0" w:val="nil"/>
                      <w:insideV w:color="000000" w:space="0" w:sz="0" w:val="nil"/>
                    </w:tblBorders>
                    <w:tblLayout w:type="fixed"/>
                    <w:tblLook w:val="0000"/>
                  </w:tblPr>
                  <w:tblGrid>
                    <w:gridCol w:w="9036"/>
                    <w:tblGridChange w:id="0">
                      <w:tblGrid>
                        <w:gridCol w:w="9036"/>
                      </w:tblGrid>
                    </w:tblGridChange>
                  </w:tblGrid>
                  <w:tr>
                    <w:trPr>
                      <w:trHeight w:val="247" w:hRule="atLeast"/>
                    </w:trPr>
                    <w:tc>
                      <w:tcPr>
                        <w:vAlign w:val="top"/>
                      </w:tcPr>
                      <w:p w:rsidR="00000000" w:rsidDel="00000000" w:rsidP="00000000" w:rsidRDefault="00000000" w:rsidRPr="00000000" w14:paraId="0000003D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40" w:lineRule="auto"/>
                          <w:ind w:left="0" w:right="0" w:firstLine="0"/>
                          <w:jc w:val="both"/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1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Основна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: Zerfaß, A., Radojković, M. (2011): 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1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Menadžment političke komunikacije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, Konrad Adenauer Stiftung, Beograd (стр. 85-159); Slavujević, Z. (2017): 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1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Pohodi na birače u ime države i naroda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, Fakultet političkih nauka, Beograd (стр. 19-75); Атлагић, С. (2020): 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1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Изборне поруке и свест бирача: Изборна пропаганда у Србији у контексту психологије масовне изборне комуникације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, Демостат, Београд (стр. 1- 96); Јовановић, М., Вучићевић, Д.: 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1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Како, кога и зашто смо бирали: Избори у Србији 1990-2020. године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, Институт за политичке студије и Службени гласник, Београд (стр. 133-203 и 347-429). </w:t>
                        </w:r>
                      </w:p>
                      <w:p w:rsidR="00000000" w:rsidDel="00000000" w:rsidP="00000000" w:rsidRDefault="00000000" w:rsidRPr="00000000" w14:paraId="0000003E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40" w:lineRule="auto"/>
                          <w:ind w:left="0" w:right="0" w:firstLine="0"/>
                          <w:jc w:val="both"/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3F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40" w:lineRule="auto"/>
                          <w:ind w:left="0" w:right="0" w:firstLine="0"/>
                          <w:jc w:val="both"/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1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Допунска:</w:t>
                        </w:r>
                        <w:r w:rsidDel="00000000" w:rsidR="00000000" w:rsidRPr="00000000">
                          <w:rPr>
                            <w:rFonts w:ascii="Times New Roman" w:cs="Times New Roman" w:eastAsia="Times New Roman" w:hAnsi="Times New Roman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0"/>
                            <w:szCs w:val="20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  У накнадним консултацијама, а у зависности од аспекта кампање за који се полазник определи 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4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925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9252"/>
              <w:tblGridChange w:id="0">
                <w:tblGrid>
                  <w:gridCol w:w="9252"/>
                </w:tblGrid>
              </w:tblGridChange>
            </w:tblGrid>
            <w:tr>
              <w:trPr>
                <w:trHeight w:val="227" w:hRule="atLeast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 Настава се састоји од комбиновања предавања наставника и заинтересованих полазника, видео презентација, групних расправа и индивидуално ангажовања сваког полазника </w:t>
                  </w:r>
                </w:p>
              </w:tc>
            </w:tr>
          </w:tbl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GB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0/8lcf3R8fF9+Wr5npS3MwZ7pw==">AMUW2mVs97KqN9sze1ZqqaDltmMH7xykVnU90VWsvanRQtUqja4Iiz1EKvw8NtLc2Fm3BC345rOR9u7bbDQU4BKfX13bm1BWizk6RfegdLMOe8rGI1NYUiI=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